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29" w:rsidRPr="000B699D" w:rsidRDefault="00CA5E29" w:rsidP="00CA5E29">
      <w:pPr>
        <w:ind w:rightChars="-24" w:right="31680"/>
        <w:jc w:val="center"/>
        <w:rPr>
          <w:rFonts w:ascii="Times New Roman" w:eastAsia="標楷體" w:hAnsi="Times New Roman"/>
          <w:b/>
          <w:sz w:val="34"/>
          <w:szCs w:val="34"/>
        </w:rPr>
      </w:pPr>
      <w:r w:rsidRPr="000B699D">
        <w:rPr>
          <w:rFonts w:ascii="Times New Roman" w:eastAsia="標楷體" w:hAnsi="標楷體" w:hint="eastAsia"/>
          <w:b/>
          <w:sz w:val="34"/>
          <w:szCs w:val="34"/>
        </w:rPr>
        <w:t>臺北市麗山高中</w:t>
      </w:r>
      <w:r w:rsidRPr="000B699D">
        <w:rPr>
          <w:rFonts w:ascii="Times New Roman" w:eastAsia="標楷體" w:hAnsi="Times New Roman"/>
          <w:b/>
          <w:sz w:val="34"/>
          <w:szCs w:val="34"/>
        </w:rPr>
        <w:t>102</w:t>
      </w:r>
      <w:r w:rsidRPr="000B699D">
        <w:rPr>
          <w:rFonts w:ascii="Times New Roman" w:eastAsia="標楷體" w:hAnsi="標楷體" w:hint="eastAsia"/>
          <w:b/>
          <w:sz w:val="34"/>
          <w:szCs w:val="34"/>
        </w:rPr>
        <w:t>學年度數理資優班成果發表會流程表</w:t>
      </w:r>
    </w:p>
    <w:tbl>
      <w:tblPr>
        <w:tblW w:w="1070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89"/>
        <w:gridCol w:w="6194"/>
        <w:gridCol w:w="2918"/>
      </w:tblGrid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0B699D">
              <w:rPr>
                <w:rFonts w:ascii="Times New Roman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b/>
                <w:sz w:val="26"/>
                <w:szCs w:val="26"/>
              </w:rPr>
              <w:t>活動內容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b/>
                <w:sz w:val="26"/>
                <w:szCs w:val="26"/>
              </w:rPr>
              <w:t>負責人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13:10</w:t>
            </w: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校長致詞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徐建國校長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13:15</w:t>
            </w: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開場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許光璨、程浩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Merge w:val="restart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上半場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br/>
              <w:t>13:20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br/>
              <w:t>│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br/>
              <w:t>14:50</w:t>
            </w:r>
          </w:p>
        </w:tc>
        <w:tc>
          <w:tcPr>
            <w:tcW w:w="6194" w:type="dxa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調控界面邊界層對阻力係數的影響及應用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物理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2918" w:type="dxa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汪柔安、廖苑婷、劉昕恬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Merge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油的酸值檢測與探討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化學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夏梓祥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Merge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低耗能壓電晶片散熱之研究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物理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許光璨、許惟傑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Merge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"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徑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""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關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"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其變，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"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心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"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心相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"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距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“(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數學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白晴羽、陳泯臻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Merge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秒錶實驗的速率之探討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化學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陳涴辰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Merge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「圓」來如此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數學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江佳芸、褚昱亨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Merge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爆發日珥之研究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地科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彭伯倫、張守中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14:50</w:t>
            </w: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提問單回收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15:00</w:t>
            </w: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中場休息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15:15</w:t>
            </w: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開場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許光璨、程浩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Merge w:val="restart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下半場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br/>
              <w:t>15:20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br/>
              <w:t>│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br/>
              <w:t>16:40</w:t>
            </w: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整數規劃與單形法的結合與應用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數學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江明杰、周恩浩、陳鈺棠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Merge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植物的居家風水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─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植物葉片溝槽結構環境適應之探討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生物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林子馨、張兆廷、黃義霖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Merge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水表面波速度研究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物理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陳其泓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Merge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 xml:space="preserve">Java 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的探討及應用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資訊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李至元、張治猷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Merge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一「面」之「圓」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數學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張宏、陳怡仲、陳偉碩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Merge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天「旋」地「轉」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物理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)─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以積分計算正弦波測量定磁場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李勁毅、陳維哲、程浩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Merge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 xml:space="preserve">Unity 3D 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的探討及應用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資訊</w:t>
            </w: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邱奕陽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16:40</w:t>
            </w: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問答時間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許光璨、程浩</w:t>
            </w:r>
          </w:p>
        </w:tc>
      </w:tr>
      <w:tr w:rsidR="00CA5E29" w:rsidRPr="000B699D" w:rsidTr="000B699D">
        <w:trPr>
          <w:trHeight w:val="622"/>
          <w:tblCellSpacing w:w="0" w:type="dxa"/>
        </w:trPr>
        <w:tc>
          <w:tcPr>
            <w:tcW w:w="1589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Times New Roman"/>
                <w:sz w:val="26"/>
                <w:szCs w:val="26"/>
              </w:rPr>
              <w:t>17:00</w:t>
            </w:r>
          </w:p>
        </w:tc>
        <w:tc>
          <w:tcPr>
            <w:tcW w:w="6194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閉幕</w:t>
            </w:r>
          </w:p>
        </w:tc>
        <w:tc>
          <w:tcPr>
            <w:tcW w:w="2918" w:type="dxa"/>
            <w:vAlign w:val="center"/>
          </w:tcPr>
          <w:p w:rsidR="00CA5E29" w:rsidRPr="000B699D" w:rsidRDefault="00CA5E29" w:rsidP="00CA5E29">
            <w:pPr>
              <w:ind w:rightChars="-24" w:right="316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0B699D">
              <w:rPr>
                <w:rFonts w:ascii="Times New Roman" w:eastAsia="標楷體" w:hAnsi="標楷體" w:hint="eastAsia"/>
                <w:sz w:val="26"/>
                <w:szCs w:val="26"/>
              </w:rPr>
              <w:t>全體同學</w:t>
            </w:r>
          </w:p>
        </w:tc>
      </w:tr>
    </w:tbl>
    <w:p w:rsidR="00CA5E29" w:rsidRPr="009E0136" w:rsidRDefault="00CA5E29" w:rsidP="00CA5E29">
      <w:pPr>
        <w:ind w:rightChars="-24" w:right="31680"/>
        <w:rPr>
          <w:rFonts w:ascii="Times New Roman" w:eastAsia="標楷體" w:hAnsi="Times New Roman"/>
          <w:szCs w:val="24"/>
        </w:rPr>
      </w:pPr>
    </w:p>
    <w:sectPr w:rsidR="00CA5E29" w:rsidRPr="009E0136" w:rsidSect="00D40156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E29" w:rsidRDefault="00CA5E29" w:rsidP="001B0964">
      <w:r>
        <w:separator/>
      </w:r>
    </w:p>
  </w:endnote>
  <w:endnote w:type="continuationSeparator" w:id="0">
    <w:p w:rsidR="00CA5E29" w:rsidRDefault="00CA5E29" w:rsidP="001B0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E29" w:rsidRDefault="00CA5E29" w:rsidP="001B0964">
      <w:r>
        <w:separator/>
      </w:r>
    </w:p>
  </w:footnote>
  <w:footnote w:type="continuationSeparator" w:id="0">
    <w:p w:rsidR="00CA5E29" w:rsidRDefault="00CA5E29" w:rsidP="001B09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964"/>
    <w:rsid w:val="000B699D"/>
    <w:rsid w:val="000E4584"/>
    <w:rsid w:val="000E5026"/>
    <w:rsid w:val="00165D2B"/>
    <w:rsid w:val="001B0964"/>
    <w:rsid w:val="00230861"/>
    <w:rsid w:val="00235F08"/>
    <w:rsid w:val="0026067F"/>
    <w:rsid w:val="002C1D0B"/>
    <w:rsid w:val="00335F0E"/>
    <w:rsid w:val="00365CD5"/>
    <w:rsid w:val="003A77AE"/>
    <w:rsid w:val="004C7878"/>
    <w:rsid w:val="004F6587"/>
    <w:rsid w:val="005600A2"/>
    <w:rsid w:val="005675E5"/>
    <w:rsid w:val="005F3411"/>
    <w:rsid w:val="006022E6"/>
    <w:rsid w:val="00625330"/>
    <w:rsid w:val="00681282"/>
    <w:rsid w:val="0074658E"/>
    <w:rsid w:val="00764633"/>
    <w:rsid w:val="009325D9"/>
    <w:rsid w:val="00965A23"/>
    <w:rsid w:val="009E0136"/>
    <w:rsid w:val="00A72054"/>
    <w:rsid w:val="00AB2315"/>
    <w:rsid w:val="00B24083"/>
    <w:rsid w:val="00B4038C"/>
    <w:rsid w:val="00B92D9D"/>
    <w:rsid w:val="00BD517C"/>
    <w:rsid w:val="00C35205"/>
    <w:rsid w:val="00CA5E29"/>
    <w:rsid w:val="00D40156"/>
    <w:rsid w:val="00D84465"/>
    <w:rsid w:val="00DC00CE"/>
    <w:rsid w:val="00DD2C4E"/>
    <w:rsid w:val="00E50982"/>
    <w:rsid w:val="00E939A8"/>
    <w:rsid w:val="00EF28C2"/>
    <w:rsid w:val="00F2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D2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B0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096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B0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0964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1B096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淺色網底1"/>
    <w:uiPriority w:val="99"/>
    <w:rsid w:val="001B0964"/>
    <w:rPr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hide2">
    <w:name w:val="text_exposed_hide2"/>
    <w:basedOn w:val="DefaultParagraphFont"/>
    <w:uiPriority w:val="99"/>
    <w:rsid w:val="00B4038C"/>
    <w:rPr>
      <w:rFonts w:cs="Times New Roman"/>
    </w:rPr>
  </w:style>
  <w:style w:type="character" w:customStyle="1" w:styleId="textexposedshow2">
    <w:name w:val="text_exposed_show2"/>
    <w:basedOn w:val="DefaultParagraphFont"/>
    <w:uiPriority w:val="99"/>
    <w:rsid w:val="00B4038C"/>
    <w:rPr>
      <w:rFonts w:cs="Times New Roman"/>
      <w:vanish/>
    </w:rPr>
  </w:style>
  <w:style w:type="paragraph" w:styleId="BalloonText">
    <w:name w:val="Balloon Text"/>
    <w:basedOn w:val="Normal"/>
    <w:link w:val="BalloonTextChar"/>
    <w:uiPriority w:val="99"/>
    <w:semiHidden/>
    <w:rsid w:val="00D84465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2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86</Words>
  <Characters>494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麗山高中101學年度數理資優班專題研究成果發表會流程表</dc:title>
  <dc:subject/>
  <dc:creator>Anita</dc:creator>
  <cp:keywords/>
  <dc:description/>
  <cp:lastModifiedBy>cleafff</cp:lastModifiedBy>
  <cp:revision>2</cp:revision>
  <cp:lastPrinted>2014-04-21T02:08:00Z</cp:lastPrinted>
  <dcterms:created xsi:type="dcterms:W3CDTF">2014-05-01T02:00:00Z</dcterms:created>
  <dcterms:modified xsi:type="dcterms:W3CDTF">2014-05-01T02:00:00Z</dcterms:modified>
</cp:coreProperties>
</file>